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pacing w:val="90"/>
          <w:kern w:val="0"/>
          <w:sz w:val="36"/>
          <w:szCs w:val="36"/>
          <w:fitText w:val="3600" w:id="0"/>
        </w:rPr>
        <w:t>流行病学调查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fitText w:val="3600" w:id="0"/>
        </w:rPr>
        <w:t>表</w:t>
      </w:r>
    </w:p>
    <w:bookmarkEnd w:id="0"/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考点：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185"/>
        <w:gridCol w:w="142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近7天内有无港台地区、境外旅行史和居住史：</w:t>
            </w:r>
          </w:p>
        </w:tc>
        <w:tc>
          <w:tcPr>
            <w:tcW w:w="1422" w:type="dxa"/>
            <w:tcBorders>
              <w:bottom w:val="dashed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 □</w:t>
            </w:r>
          </w:p>
        </w:tc>
        <w:tc>
          <w:tcPr>
            <w:tcW w:w="1265" w:type="dxa"/>
            <w:tcBorders>
              <w:bottom w:val="dash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dashed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近7天有无澳门地区旅居史：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 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若是，您属于：疑似病例（）不符合出院/舱标准（）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符合出院/舱标准，离院/舱未满7天（）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符合出院/舱标准，离院/舱满7天未满28天者（）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复阳患者（），如为复阳患者，核酸检测试剂盒临界值为：，CT值为：。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若是，您属于：未满隔离期（）解除集中隔离未满3日（）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是否为居家健康监测人员的同住人员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是否为离开风险区域、重点疫情区未满10日的人员：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健康码是否为黄码或红码：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39" w:type="dxa"/>
            <w:vMerge w:val="continue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overflowPunct w:val="0"/>
        <w:topLinePunct/>
        <w:autoSpaceDE w:val="0"/>
        <w:autoSpaceDN w:val="0"/>
        <w:spacing w:line="520" w:lineRule="exact"/>
        <w:ind w:firstLine="562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ascii="楷体" w:hAnsi="楷体" w:eastAsia="楷体"/>
          <w:b/>
          <w:bCs/>
          <w:sz w:val="28"/>
          <w:szCs w:val="28"/>
        </w:rPr>
        <w:t>本人确认以上情况属实。签字：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6922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3648"/>
    <w:rsid w:val="3FE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2022-09-06T05:24:00Z</dcterms:created>
  <dc:creator>田野</dc:creator>
  <cp:lastModifiedBy>田野</cp:lastModifiedBy>
  <dcterms:modified xsi:type="dcterms:W3CDTF">2022-09-06T05:26:13Z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